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7"/>
        <w:gridCol w:w="6452"/>
        <w:gridCol w:w="1480"/>
        <w:gridCol w:w="2030"/>
        <w:gridCol w:w="1242"/>
        <w:gridCol w:w="1230"/>
        <w:gridCol w:w="1327"/>
      </w:tblGrid>
      <w:tr w:rsidR="00990212" w:rsidRPr="006F5946" w14:paraId="538197A6" w14:textId="77777777" w:rsidTr="006F5946">
        <w:trPr>
          <w:trHeight w:val="1740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0423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49D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TTHC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DC72" w14:textId="2FC58F4B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Mã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TTHC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BF5A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Lĩnh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vực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AF0C3" w14:textId="4A7ED464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6F5946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3496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trả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933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Văn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TTHC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bản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phân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uỷ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TTHC </w:t>
            </w:r>
          </w:p>
        </w:tc>
      </w:tr>
      <w:tr w:rsidR="006F5946" w:rsidRPr="006F5946" w14:paraId="5F503D5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CDBD1" w14:textId="7E3D7278" w:rsidR="006F5946" w:rsidRPr="006F5946" w:rsidRDefault="006F5946" w:rsidP="00761058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XIV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9C195" w14:textId="4286DAA5" w:rsidR="006F5946" w:rsidRPr="006F5946" w:rsidRDefault="006F5946" w:rsidP="00990212">
            <w:pPr>
              <w:spacing w:before="0" w:after="0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b/>
                <w:bCs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4571B" w14:textId="77777777" w:rsidR="006F5946" w:rsidRPr="006F5946" w:rsidRDefault="006F5946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E88D0" w14:textId="77777777" w:rsidR="006F5946" w:rsidRPr="006F5946" w:rsidRDefault="006F5946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383E1" w14:textId="77777777" w:rsidR="006F5946" w:rsidRPr="006F5946" w:rsidRDefault="006F5946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E7335E" w14:textId="77777777" w:rsidR="006F5946" w:rsidRPr="006F5946" w:rsidRDefault="006F5946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A74D1" w14:textId="77777777" w:rsidR="006F5946" w:rsidRPr="006F5946" w:rsidRDefault="006F5946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90212" w:rsidRPr="006F5946" w14:paraId="3EA97F1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AB4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77F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FDA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1.013105.H55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792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22C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164B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6E9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F3F2D8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D158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DDA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9A60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1.013110.H55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74D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2FD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9C74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F0B3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BF612B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366F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1AE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199E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1.001296.H55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531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409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CE2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B4E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2DBE66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9A7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9E87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3FD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1.001322.H55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1B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7D5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1F3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513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6ABDBE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8F5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72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970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1.000660.000.00.00.H55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AC21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A33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DA3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E93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1A4D749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5A3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1BF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7B0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1.000672.000.00.00.H55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56A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664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C91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EAD8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16D1329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D5E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A6B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58A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1.000703.000.00.00.H55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0CB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024A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B6E5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DE9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4418CD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FBD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E28F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7EF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1.001023.000.00.00.H55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E35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8B9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118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0A3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2E1E42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CC8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559D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52F3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1.001577.000.00.00.H55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A9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B0B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A9C3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E37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0ABFA94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EA1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1F9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DC5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1.001623.000.00.00.H55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88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794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A7D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08CF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A23E86C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D18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6EF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bồi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máy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còn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2A6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2.000769.000.00.00.H55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BDB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776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039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27B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E2DF88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74B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5A1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Trung Quốc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FF9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1.001737.000.00.00.H55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336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E80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366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EF8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3936B5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BE1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569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tập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tập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8C2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1.001751.000.00.00.H55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E3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479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CEA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FCD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555601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D5E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05A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dạy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E87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1.001765.000.00.00.H55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C13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C7C3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6C9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DD2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7948739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FEF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819F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tập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54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1.001777.000.00.00.H55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EE1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5EA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3C74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680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DB42DE1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4810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E1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GMS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4DE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1.002046.000.00.00.H55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A87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22D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93F0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684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9B8387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F28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4B3B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D77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1.002063.000.00.00.H55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A5F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962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C04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3F5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6A8B73C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AA2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AF9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27B9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1.002268.000.00.00.H55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F38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20D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A4A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997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54E730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517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0AF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279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1.002286.000.00.00.H55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2D8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3E4D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FB6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C87B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860C6D6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E82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AEA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Trung Quốc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589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1.002334.000.00.00.H55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98D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06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8EF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004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29577C9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E32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EA3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55D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1.002798.000.00.00.H55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FD7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939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43F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6B9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912F4E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394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474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78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1.002856.000.00.00.H55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1AD8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BBE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58F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E3D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191012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AA33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C95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6C8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1.002861.000.00.00.H55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C4F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113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A68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7555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21C480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2C2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E53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1B4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1.002877.000.00.00.H55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7A5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4BE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5C78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BF3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6F99AE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D9B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F85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dạy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ACF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1.004993.000.00.00.H55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C3B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0A5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B652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75E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D3B68EE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644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329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9E2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1.005021.000.00.00.H55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FD9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4A2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417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30E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91AEFEF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703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D9D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B2FB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1.005024.000.00.00.H55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1C62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BEE7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7D6F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BBF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5D2AF4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91A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320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E9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1.005210.000.00.00.H55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F9D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697E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D64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E6B2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374903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3D3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61A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B76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2.002285.000.00.00.H55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0C4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4D5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DDF9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B3C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5087B8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473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4272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C81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2.002288.000.00.00.H55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456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C18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12F4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076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6FB214D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52C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302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hồi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00D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2.002286.000.00.00.H55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11B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7CE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6ABD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2FD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302F803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9760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58C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ô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gắn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7EEF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2.002287.000.00.00.H55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81CD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BE5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0FAD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6E1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A5778A0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89D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F05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ASEAN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6DD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1.010707.000.00.00.H55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985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7F7A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DA0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F01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1273CD5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882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83C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trọng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xích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trọng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633B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1.000028.000.00.00.H55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1BA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271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C917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67D7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B6ED63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769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70E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12B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1.000314.000.00.00.H55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799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275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0E4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174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F5E7E56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C6EB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5CF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2F1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1.001046.000.00.00.H55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CB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D15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62C4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988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14A412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766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C4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A11D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1.001061.000.00.00.H55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40B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987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904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0B3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B973716" w14:textId="77777777" w:rsidTr="006F5946">
        <w:trPr>
          <w:trHeight w:val="252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138C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CD19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kích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chính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lắp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tầng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tầng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vệ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tầng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trọng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xe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xích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3B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2.001921.000.00.00.H55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15C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EC4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2A3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61F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F0DAE5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2D5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39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677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A8D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1.013061.H55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B0A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C68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680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AD51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602FB7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470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673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34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hyperlink r:id="rId6" w:history="1">
              <w:r w:rsidRPr="006F5946">
                <w:rPr>
                  <w:rFonts w:eastAsia="Times New Roman" w:cs="Times New Roman"/>
                  <w:sz w:val="26"/>
                  <w:szCs w:val="26"/>
                  <w:u w:val="single"/>
                </w:rPr>
                <w:t>1.013259.H55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117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9EA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5A5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529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C618545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16E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CC1F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C1A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1.013260.H55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E70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B69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9165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3D7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43DB14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AB1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6B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33C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1.013261.H55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BE8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BA4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2EB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4FC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B886AD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992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961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tốc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D3A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1.013276.H55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2F9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7FE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CF2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1BC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DE81A6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AEF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2D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B27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1.013277.H55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E28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935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24D7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EA0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C19F7D3" w14:textId="77777777" w:rsidTr="006F5946">
        <w:trPr>
          <w:trHeight w:val="6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9CCC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466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lòng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vỉa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hè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đích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181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1.013274.H55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0C35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99E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F13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95D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AF45412" w14:textId="77777777" w:rsidTr="006F5946">
        <w:trPr>
          <w:trHeight w:val="84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545A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46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DB3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2FA3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1.014.411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E80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F21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3F8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179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DA9C6F4" w14:textId="77777777" w:rsidTr="006F5946">
        <w:trPr>
          <w:trHeight w:val="8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161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47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11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75B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1014412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24E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A4F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4EB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F5C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FCF1415" w14:textId="77777777" w:rsidTr="006F5946">
        <w:trPr>
          <w:trHeight w:val="126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505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48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E67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nút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BE5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1014413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E7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54F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95F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9355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940ED1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313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49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C3D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bỏ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30C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1.000294.000.00.00.H55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DB7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65A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8C5E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94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A139F4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44C1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50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0C2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59C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1.003897.H55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51A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35E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CEA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166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682AC5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E29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DAD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bỏ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DC94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1.004681.000.00.00.H55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E04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70D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2CEE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8326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6DA9FC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DA2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D64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304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1.004685.000.00.00.H55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54F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1F2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224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2776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435B45B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153F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F21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26A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1.004691.000.00.00.H55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C28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005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FBC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DA4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C2D8D94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C36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1C2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nhỏ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100 km/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giờ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xuống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DF68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1.004883.000.00.00.H55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E03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FD1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A18C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621D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9BA77C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111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DDF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Giấy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nâng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176E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1.005058.000.00.00.H55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F61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0A4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AE5E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455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B280AA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625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3A3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02A7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1.005071.H55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E7C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DA14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FD39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27D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D9F86E1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F24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1FD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yếu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BF6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1.005123.000.00.00.H55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41D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AF8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249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3D5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0692B7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46C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57A0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nâng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906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1.005126.000.00.00.H55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E3B3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CCF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7EE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9B6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F18B37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4F8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59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9DD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yếu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637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1.005134.000.00.00.H55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0A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C50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169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097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A1FAE03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57B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60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EB4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8012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1.010000.H55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9F5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9D85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78D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7D2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A340D1A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AFB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61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A8E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4A3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1.004844.H55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7D6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5BD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14C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50C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E12DE15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642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62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1CF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hồi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9E9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1.005075.H55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567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930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59EC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82DD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C6A8292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8AB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C8C6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652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1.001666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5E8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56E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F77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B9E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809BA54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08F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8AC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C93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1.001692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C25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384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2F03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EB9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0A50234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0F9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F7D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CBF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1.001725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D36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802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ED5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18C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33230BB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470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A67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52B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1.001717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F96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C530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54B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0BF2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43CABC0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44F8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C90F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ASEAN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1FA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1.010702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89D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933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6E9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723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024DC77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B87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C32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ASEAN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C16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1.010704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33BF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8C9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B465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188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2A7D870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B0E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69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D9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GMS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F63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1.002829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7DF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F6C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CA9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F9B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AE9AF2B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121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AD5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GMS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TAD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24E3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1.002817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D15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373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1F8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7DF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4CAD7B5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EC2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2F0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Lào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C75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1.002847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CCA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660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22C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2EF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47BB6C0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2A3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978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7A9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1.000302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ED2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68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0DA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C17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C41BA8C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E8B2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D929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830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1.000321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0F1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bộ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A8A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79C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140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30A2F14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4A7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037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nhỏ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100 km/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giờ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xuống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65A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1.004.883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F8A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01B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F4F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857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7D92CFB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F94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82B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vui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A9D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13D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FEA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5D9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01F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0D10DA9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560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10E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vui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936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EC3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0CC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B4C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A80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C8FA3A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C77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F29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vui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9CE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D79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64C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93C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650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6A8DFE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C71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78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98E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vui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21C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4C3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EF6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8A2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9DD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E9BDE22" w14:textId="77777777" w:rsidTr="006F5946">
        <w:trPr>
          <w:trHeight w:val="15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26D8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79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6D0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Đóng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đánh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cờ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màu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dễ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F28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BD7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ACD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8B00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633B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B656AE4" w14:textId="77777777" w:rsidTr="006F5946">
        <w:trPr>
          <w:trHeight w:val="15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59D9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582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đánh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cờ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màu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sắc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dễ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sát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007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0B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DD84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A7A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1C02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EAF3E12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74A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3ED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vui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dưới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428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2.001219.H55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041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D86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861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F8D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B0469E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11B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061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EDF0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1.003135.000.00.00.H55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8DA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C49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ADAA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E26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7D084A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812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05F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9DE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1.003592.000.00.00.H55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C56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93C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7277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0CE2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A563B6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EE5F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84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38D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phi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425D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1.003614.000.00.00.H55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D763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CBA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9D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1CB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6221166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846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1672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B65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1.003658.000.00.00.H55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698A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FF1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90B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8C0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6DE557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CB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2841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989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2.001659.000.00.00.H55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512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90B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B6F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E12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F8C2B9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13D8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22B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218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1.003930.000.00.00.H55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DC8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12C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8AC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F8FC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F2A04AC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718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460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hữu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2E8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1.003970.000.00.00.H55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407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E0A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B64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1B8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EDC6D91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080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89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1B0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hữu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nhưng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8F2F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1.004002.000.00.00.H55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17F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52F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DD3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E5B2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4821F1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318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2BA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D139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2.001711.000.00.00.H55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2A2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016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252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B427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AAAA843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3D8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0FD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từ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E8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1.004036.000.00.00.H55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047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CA48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35C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C7E6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BE0B90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E0A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C64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3FD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1.004047.000.00.00.H55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894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136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240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E0F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518944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E07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EF5E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48C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1.004088.000.00.00.H55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153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B78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442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AB9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C15E51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62D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D62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9B1D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1.004242.000.00.00.H55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7CB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8E5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5DD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0BA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7658CC5" w14:textId="77777777" w:rsidTr="006F5946">
        <w:trPr>
          <w:trHeight w:val="11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2C6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043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DCF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1.005040.000.00.00.H55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5031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9A9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410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0BD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5A38E2F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581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0D0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630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2.001998.000.00.00.H55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92C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CB1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BDB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148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9614403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91F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8CE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616C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2.002001.000.00.00.H55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5AA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FB6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0A1D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A5D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4FD3A64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056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98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F46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khẩu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chính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CF2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1.006391.000.00.00.H55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FC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24D2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47B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A88C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3CC119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E5E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99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4F2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neo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2CE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F66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C99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0B8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E700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3A3664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647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039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Thỏa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nâng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3943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C0D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8078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461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CDB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D30F62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982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C80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0413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5C7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A66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E2B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548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9C869FC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80A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05F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0F5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9B8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16DD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F59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D6C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C5F2B5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B7B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F40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đóng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872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1.009447.000.00.00.H55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E2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602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F820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BBDD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FCEFF5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659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72E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neo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E27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39C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C6B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D18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69E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18AA8A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65F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105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334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neo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263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1.009449.000.00.00.H55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78A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7D8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A25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400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352457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E84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F54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đóng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neo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đậu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1D74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658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FE8B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FF02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58A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B64594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48D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F1F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Thỏa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1A3F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B5A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FA9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6A1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A16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A00332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65E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7E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Thỏa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858B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0528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E8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B3B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1A0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E9969F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6D9B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109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A77E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còn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A48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266C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69E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0CA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B2F1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EB772F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9A1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60F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dùng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BFE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9DC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65A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FA5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64F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FA1C6B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EEC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5D0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EC47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F60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3A7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C65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FE4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910EDA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83F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BC1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416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4DD9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F8B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79C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783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CF0A6D1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24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E28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322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264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642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736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0F9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3B744A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51A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4B1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trọng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A904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1.000344.000.00.00.H55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D1FF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F7D4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CC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99C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35D4656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7AD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5D70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vét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bờ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chìm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biển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7460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2.001802.H55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E7E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C08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364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8BA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CA0C8FB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FB5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88A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Thỏa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650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1.009451.000.00.00.H55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E9D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07C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8C80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2AF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D9D642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B314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5B4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dùng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43E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1.009461.000.00.00.H55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F83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152A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DAB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158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55B822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5DD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EE9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8BC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1.009464.000.00.00.H55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E2A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2C4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82C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E3D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944650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E95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119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18D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bảo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đảm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75E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1.009465.000.00.00.H55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EBB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AC8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B9D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9F4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8A49EC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339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120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888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đóng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CC9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1.009460.000.00.00.H55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322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8FF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93C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51D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9C987D4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5E8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64A2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Thỏa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tầng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276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1.009463.000.00.00.H55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040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2DB6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EE7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C12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CE130F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8C4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9B5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360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2.002615.H55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E4C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5C8C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AC9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7B8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362CCDE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A48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7CF7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F15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2.002616.H55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060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707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603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DF0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A507D4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1DA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F0D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821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2.002617.H55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69F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74B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47C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52F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A386EA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6CE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98A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xuất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vét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913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2.002624.H55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334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B05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BE0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731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1A0CAD6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D2D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313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vét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bờ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AE4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2.002625.H55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A23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83C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34F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D36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62E0A96" w14:textId="77777777" w:rsidTr="006F5946">
        <w:trPr>
          <w:trHeight w:val="74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601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1ED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cạn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A2E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8697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2CE6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121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C93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4D9C772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8CF4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128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4FE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359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399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4DD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437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161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6F442F5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338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129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5ECE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F0CB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F49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4DB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D96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AE5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6B2B85B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747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D8C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lãnh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Campuchia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5B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055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5C58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AD9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CA7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5BA8D0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4A6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E5F5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chặt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1AC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1.002693.000.00.00.H55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B7B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tầng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60D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DF0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1D1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29317D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8D6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866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C25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52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5D6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B0E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D7B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44C1DCF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5775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B98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cháy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F24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EBF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DF3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6DFD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81B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1B8012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422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9A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dịch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520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8D3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942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F5F9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831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11D4BB2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6D0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135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F48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tầng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kỹ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AACF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1.012903.H55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22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0D8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F7D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BA4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626C75A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BDB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C4F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dữ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D78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4A1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D5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FC50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61F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A62E704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BA7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0B6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lai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mua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441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9EA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DE5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74E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E96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7D54D3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7E4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9DD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53D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456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51F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7C1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C9F3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6AA47C8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D67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139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104C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cháy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tai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F75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1.012907.H55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169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D78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7329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643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DA7FEB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872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495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B52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1.012910.H55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2AA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486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257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CEB9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9975C13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79B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5DC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bộ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Ủy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việc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A8E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1.012911.H55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970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Kinh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D8E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135B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7E5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4E7C60D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17C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142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0DCB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việc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góp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doanh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07E4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025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066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F4C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171C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F314287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AED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28C2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D0F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1.012883.H55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80D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309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10C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787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D20C60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1D4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ACF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Thông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nộp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817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FCB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BDD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910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1CFE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E74F411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D0FB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04F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nguồn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A65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538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996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27D6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A2D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0508CF7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0CB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887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làm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nguồn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421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D4F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614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D935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483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2CC6813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C1A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59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hữu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Việt Nam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B6B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C15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68C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331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2D83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8BBB23A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9B6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148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E46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Bán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6A4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1.012893.H55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13C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D2A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BD4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8B8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35318A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1426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149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090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mua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vốn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912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B0A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AE5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A17D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29EC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3DD222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AED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447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xuất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ưu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c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khoản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198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Luật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2023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ECC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A7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77EA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28AE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CA7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0725511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39D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F17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940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1.012888.H55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F87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7C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AFE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92E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1D9CFC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6682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BD0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1F6A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821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782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4FE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162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52588F5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FDA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FE7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969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EE6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0E4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8A1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6FF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1087681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E40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F2C1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B68D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2BF7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7E7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4CF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2A6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55762EE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6F87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09F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mua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dân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BBB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845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F40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56E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6DC1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EDF37CF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443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C03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quyền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7D0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81B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B74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CCF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5BE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1016910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008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00E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cũ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thuê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9C6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1.012898.H55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BFE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12C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356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4EF6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6687848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3D1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158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709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thuộc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978B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93FE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592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2C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5F51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3CFA6B3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1E7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159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CEA4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đấu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3F22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2FB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86B8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CAF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574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E69E2FE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DB5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BEC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chưa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473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AC9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419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934E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E6E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57E4C71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5F12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15EE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đồng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8A6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94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E6E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40B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066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C9AA33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746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55B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sản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hóa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liệu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B74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1.006871.000.00.00.H55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2E0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Vật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liệu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8E3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E5B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827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A8B8D76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67F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4E6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thẻ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10B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2.001116.000.00.00.H55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E74D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902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3AE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963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8F0E75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9F8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496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Miễn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hồi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thẻ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BA6D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1.011675.H55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8FA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A63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083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BC7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040E30B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FB7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165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294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còn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nhưng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xin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dừng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một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số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024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1.011708.H55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18D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dựng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A8A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D40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1E9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413696A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2D73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37F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CB0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1.011710.H55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083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dựng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E7B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1569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41F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D5E7A8A" w14:textId="77777777" w:rsidTr="006F5946">
        <w:trPr>
          <w:trHeight w:val="220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C25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EDA8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phòng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sung,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tiêu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chuẩn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F20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1.011711.H55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766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dựng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CC9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BD2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99FE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F4D0015" w14:textId="77777777" w:rsidTr="006F5946">
        <w:trPr>
          <w:trHeight w:val="157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F51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168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886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lần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22A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1.011705.H55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D8C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dựng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4DC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102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A5C2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EBA375F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F1E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169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27A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ý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đánh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nằm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FDBE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1.009788.000.00.00.H55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443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E1F4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228E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08E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EE6D866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0CD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032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Cho ý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việc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kéo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nhưng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có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dụng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tiếp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trừ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trường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hợp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CD1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1.009791.000.00.00.H55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163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350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6EF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D0C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ED4608C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C22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D512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Kiểm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tác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DA5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1.009794.000.00.00.H55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9E1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Quản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lý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764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D614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831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14205F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8CE7A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DC4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BEA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1.013217.H55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FCAE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50B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5CB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0AE7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F7112AE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9C6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480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/Sửa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596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AF9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43D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C79D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C69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7FF4C7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ACE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6502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AE4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1.013219.H55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9A6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4913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33050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3E48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D96EDB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31E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EEA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CC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7ED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2A6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DC1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C91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F9BF4D7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8EAC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04CC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390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923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200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702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39BC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CAB4DFD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A3E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15C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623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0587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776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017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F18D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821E954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E3B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178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BA03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F76A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3EA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6F8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717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0A3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9CF9891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0ECF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179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BB6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/Sửa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8D4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E13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A6D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9A7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939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2EBCAB1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B98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765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EE2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1.013229.H55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16E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8A1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1BE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5A1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B7B3EF9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BF9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181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1F52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7ED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7F6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DAF8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3D8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B88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1B02C0C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B7F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C581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C456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1.013231.H55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01C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B763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1C1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8BD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4323452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99F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1E6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IV (Công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riêng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lẻ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0DF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1.013232.H55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C84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B4B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DDF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8A7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A3CCBCD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DFFC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184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AA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Gia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/Sửa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F8C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1.013233.H55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447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1FA6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CFE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D240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F225CA7" w14:textId="77777777" w:rsidTr="006F5946">
        <w:trPr>
          <w:trHeight w:val="69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365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6A4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/Sửa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8C0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3892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042D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E5B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C175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5A5EDCB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4086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149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E2B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1.013236.H55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6262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1A60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B69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448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ED1811F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51E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3BF0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triển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sau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thiết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kế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sở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;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1F6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1.013234.H55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4EB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E20B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C8F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871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DA310E7" w14:textId="77777777" w:rsidTr="006F5946">
        <w:trPr>
          <w:trHeight w:val="189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7C5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188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2B9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giấy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phép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sửa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chữa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cải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đối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biệt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 (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Tượng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tranh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/Theo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đoạn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trình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tuyến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CC3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1.013238.H55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85922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508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F444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C53A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6CCA517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C4DD3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189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84A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Báo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cứu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/Báo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cứu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khả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89F5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1.013239.H55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92D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E16F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070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76B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3209974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64B0F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40E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mới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08E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1.013237.H55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731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05C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ADF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7EB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5A40164E" w14:textId="77777777" w:rsidTr="006F5946">
        <w:trPr>
          <w:trHeight w:val="12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8178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CAA0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Công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nghiệp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III/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năng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III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hội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viên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42C7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456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động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18C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3EE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C464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61A1DCDD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905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249E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C74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1.008891.000.00.00.H55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329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49A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F8F7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B57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295A7F1E" w14:textId="77777777" w:rsidTr="006F5946">
        <w:trPr>
          <w:trHeight w:val="69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F882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193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44E1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(do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mất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hỏng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hoặc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thay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nhân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trong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>).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CC4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1.008989.000.00.00.H55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E76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4131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BD2E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796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A30B5AC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659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194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F99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lại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bị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ghi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sai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lỗi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quan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CDA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1.008990.000.00.00.H55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9246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59C7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F2AC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E7FFC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32EC4F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65A21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195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C8B3D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gia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888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1.008991.000.00.00.H55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E6D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44E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55B8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3AB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C075332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17F0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196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34B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nhận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Việt Nam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96237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1.008992.000.00.00.H55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BCFC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3B2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D67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72EA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CB37958" w14:textId="77777777" w:rsidTr="006F5946">
        <w:trPr>
          <w:trHeight w:val="6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9D59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197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46A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Thủ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tục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chuyển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đổi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hành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nghề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của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người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nước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ngoài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ở Việt Nam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8761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1.008993.000.00.00.H55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60B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xây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kiến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1DF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1E0A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03DE7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1084B4FB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082D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198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6CB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chọn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24BB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hyperlink r:id="rId7" w:history="1">
              <w:r w:rsidRPr="006F5946">
                <w:rPr>
                  <w:rFonts w:eastAsia="Times New Roman" w:cs="Times New Roman"/>
                  <w:sz w:val="26"/>
                  <w:szCs w:val="26"/>
                  <w:u w:val="single"/>
                </w:rPr>
                <w:t>1.014156.H55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16FE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C7E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69D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957A9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4CB14099" w14:textId="77777777" w:rsidTr="006F5946">
        <w:trPr>
          <w:trHeight w:val="9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B8B4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199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C215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Phê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duyệt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chọn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80A9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hyperlink r:id="rId8" w:history="1">
              <w:r w:rsidRPr="006F5946">
                <w:rPr>
                  <w:rFonts w:eastAsia="Times New Roman" w:cs="Times New Roman"/>
                  <w:sz w:val="26"/>
                  <w:szCs w:val="26"/>
                  <w:u w:val="single"/>
                </w:rPr>
                <w:t>1.014158.H55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B5DA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439BF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2E26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F58DF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4C8DB6C" w14:textId="77777777" w:rsidTr="006F5946">
        <w:trPr>
          <w:trHeight w:val="127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026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0F49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nhiệm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vụ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chọn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65F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1.014155.H55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C320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67425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2A14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3771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71188389" w14:textId="77777777" w:rsidTr="006F5946">
        <w:trPr>
          <w:trHeight w:val="105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6AE5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lastRenderedPageBreak/>
              <w:t>201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908F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Thẩm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định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điều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chỉnh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do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nhà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đã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được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lựa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chọn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để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thực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hiện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dự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án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đầu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tư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tổ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chức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lập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8EB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hyperlink r:id="rId9" w:history="1">
              <w:r w:rsidRPr="006F5946">
                <w:rPr>
                  <w:rFonts w:eastAsia="Times New Roman" w:cs="Times New Roman"/>
                  <w:sz w:val="26"/>
                  <w:szCs w:val="26"/>
                  <w:u w:val="single"/>
                </w:rPr>
                <w:t>1.014157.H55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21B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CFC9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1F9E2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1ED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90212" w:rsidRPr="006F5946" w14:paraId="0127AF3A" w14:textId="77777777" w:rsidTr="006F5946">
        <w:trPr>
          <w:trHeight w:val="11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FFA7" w14:textId="77777777" w:rsidR="00990212" w:rsidRPr="006F5946" w:rsidRDefault="00990212" w:rsidP="00761058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202</w:t>
            </w:r>
          </w:p>
        </w:tc>
        <w:tc>
          <w:tcPr>
            <w:tcW w:w="6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7E44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Cung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cấp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về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hồ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sơ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cắm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mốc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theo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quy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EACF3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  <w:u w:val="single"/>
              </w:rPr>
            </w:pPr>
            <w:hyperlink r:id="rId10" w:history="1">
              <w:r w:rsidRPr="006F5946">
                <w:rPr>
                  <w:rFonts w:eastAsia="Times New Roman" w:cs="Times New Roman"/>
                  <w:sz w:val="26"/>
                  <w:szCs w:val="26"/>
                  <w:u w:val="single"/>
                </w:rPr>
                <w:t>1.014159.H55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D398" w14:textId="77777777" w:rsidR="00990212" w:rsidRPr="006F5946" w:rsidRDefault="00990212" w:rsidP="00990212">
            <w:pPr>
              <w:spacing w:before="0" w:after="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 xml:space="preserve">Quy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hoạch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đô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thị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và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5946">
              <w:rPr>
                <w:rFonts w:eastAsia="Times New Roman" w:cs="Times New Roman"/>
                <w:sz w:val="26"/>
                <w:szCs w:val="26"/>
              </w:rPr>
              <w:t>nông</w:t>
            </w:r>
            <w:proofErr w:type="spellEnd"/>
            <w:r w:rsidRPr="006F5946">
              <w:rPr>
                <w:rFonts w:eastAsia="Times New Roman" w:cs="Times New Roman"/>
                <w:sz w:val="26"/>
                <w:szCs w:val="26"/>
              </w:rPr>
              <w:t xml:space="preserve"> thôn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6F06" w14:textId="77777777" w:rsidR="00990212" w:rsidRPr="006F5946" w:rsidRDefault="00990212" w:rsidP="00990212">
            <w:pPr>
              <w:spacing w:before="0" w:after="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F5F3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2AAB" w14:textId="77777777" w:rsidR="00990212" w:rsidRPr="006F5946" w:rsidRDefault="00990212" w:rsidP="00990212">
            <w:pPr>
              <w:spacing w:before="0" w:after="0"/>
              <w:rPr>
                <w:rFonts w:eastAsia="Times New Roman" w:cs="Times New Roman"/>
                <w:sz w:val="26"/>
                <w:szCs w:val="26"/>
              </w:rPr>
            </w:pPr>
            <w:r w:rsidRPr="006F5946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</w:tbl>
    <w:p w14:paraId="6A79F406" w14:textId="77777777" w:rsidR="00A75B7F" w:rsidRPr="006F5946" w:rsidRDefault="00A75B7F">
      <w:pPr>
        <w:rPr>
          <w:sz w:val="26"/>
          <w:szCs w:val="26"/>
        </w:rPr>
      </w:pPr>
    </w:p>
    <w:p w14:paraId="3DB5FF04" w14:textId="6A9B14CE" w:rsidR="00F17EFF" w:rsidRPr="006F5946" w:rsidRDefault="00F17EFF">
      <w:pPr>
        <w:rPr>
          <w:sz w:val="26"/>
          <w:szCs w:val="26"/>
        </w:rPr>
      </w:pPr>
    </w:p>
    <w:sectPr w:rsidR="00F17EFF" w:rsidRPr="006F5946" w:rsidSect="001F0D9B">
      <w:headerReference w:type="default" r:id="rId11"/>
      <w:pgSz w:w="16840" w:h="11907" w:orient="landscape" w:code="9"/>
      <w:pgMar w:top="1134" w:right="1134" w:bottom="1134" w:left="1134" w:header="510" w:footer="720" w:gutter="0"/>
      <w:pgNumType w:start="33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41DA" w14:textId="77777777" w:rsidR="00206E7E" w:rsidRDefault="00206E7E" w:rsidP="006F5946">
      <w:pPr>
        <w:spacing w:before="0" w:after="0"/>
      </w:pPr>
      <w:r>
        <w:separator/>
      </w:r>
    </w:p>
  </w:endnote>
  <w:endnote w:type="continuationSeparator" w:id="0">
    <w:p w14:paraId="574CA944" w14:textId="77777777" w:rsidR="00206E7E" w:rsidRDefault="00206E7E" w:rsidP="006F59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F73D" w14:textId="77777777" w:rsidR="00206E7E" w:rsidRDefault="00206E7E" w:rsidP="006F5946">
      <w:pPr>
        <w:spacing w:before="0" w:after="0"/>
      </w:pPr>
      <w:r>
        <w:separator/>
      </w:r>
    </w:p>
  </w:footnote>
  <w:footnote w:type="continuationSeparator" w:id="0">
    <w:p w14:paraId="23C1E998" w14:textId="77777777" w:rsidR="00206E7E" w:rsidRDefault="00206E7E" w:rsidP="006F59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5959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5D28E4" w14:textId="4167F7CF" w:rsidR="006F5946" w:rsidRDefault="006F594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25FE7" w14:textId="77777777" w:rsidR="006F5946" w:rsidRDefault="006F59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12"/>
    <w:rsid w:val="001F0D9B"/>
    <w:rsid w:val="00206E7E"/>
    <w:rsid w:val="00337C19"/>
    <w:rsid w:val="006F5946"/>
    <w:rsid w:val="00761058"/>
    <w:rsid w:val="007A25AE"/>
    <w:rsid w:val="008D272F"/>
    <w:rsid w:val="00990212"/>
    <w:rsid w:val="00A75B7F"/>
    <w:rsid w:val="00E90B9D"/>
    <w:rsid w:val="00F17EFF"/>
    <w:rsid w:val="00F9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10E4"/>
  <w15:chartTrackingRefBased/>
  <w15:docId w15:val="{339404A3-6D30-4C6E-8B2C-63B4E4BA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9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5946"/>
  </w:style>
  <w:style w:type="paragraph" w:styleId="Footer">
    <w:name w:val="footer"/>
    <w:basedOn w:val="Normal"/>
    <w:link w:val="FooterChar"/>
    <w:uiPriority w:val="99"/>
    <w:unhideWhenUsed/>
    <w:rsid w:val="006F594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tuc.dichvucong.gov.vn/p/home/dvc-tthc-thu-tuc-hanh-chinh-chi-tiet.html?ma_thu_tuc=41113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hutuc.dichvucong.gov.vn/p/home/dvc-tthc-thu-tuc-hanh-chinh-chi-tiet.html?ma_thu_tuc=411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tuc.dichvucong.gov.vn/p/home/dvc-tthc-thu-tuc-hanh-chinh-chi-tiet.html?ma_thu_tuc=36933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hutuc.dichvucong.gov.vn/p/home/dvc-tthc-thu-tuc-hanh-chinh-chi-tiet.html?ma_thu_tuc=4111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hutuc.dichvucong.gov.vn/p/home/dvc-tthc-thu-tuc-hanh-chinh-chi-tiet.html?ma_thu_tuc=411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Nhữ Thanh Tùng</cp:lastModifiedBy>
  <cp:revision>3</cp:revision>
  <cp:lastPrinted>2025-12-30T07:59:00Z</cp:lastPrinted>
  <dcterms:created xsi:type="dcterms:W3CDTF">2025-12-23T01:21:00Z</dcterms:created>
  <dcterms:modified xsi:type="dcterms:W3CDTF">2025-12-30T08:03:00Z</dcterms:modified>
</cp:coreProperties>
</file>